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fc7800f92448c2bb2f5afacab403a8d447d2be"/>
    <w:p>
      <w:pPr>
        <w:pStyle w:val="Heading3"/>
      </w:pPr>
      <w:r>
        <w:t xml:space="preserve">Департамент жилищно- коммунального хозяйства города Москвы информирует жителей Департамент жилищно- коммунального хозяйства города Москвы информирует жителей</w:t>
      </w:r>
    </w:p>
    <w:p>
      <w:pPr>
        <w:pStyle w:val="FirstParagraph"/>
      </w:pPr>
      <w:r>
        <w:t xml:space="preserve">27.05.2025</w:t>
      </w:r>
    </w:p>
    <w:p>
      <w:pPr>
        <w:pStyle w:val="BodyText"/>
      </w:pPr>
      <w:r>
        <w:drawing>
          <wp:inline>
            <wp:extent cx="2286000" cy="152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_local/iblock/08e/08eb1ce491bb8d8b262484f89ec96d08/zhkx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http://yasenevo.mos.ru/presscenter/news/detail/12991599.html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Ясенево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129915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129915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2025-08-06T02:10:59Z</dcterms:created>
  <dcterms:modified xsi:type="dcterms:W3CDTF">2025-08-06T02:10:59Z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