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969fb72104c2895edd53eb1c89e1fa7f75689"/>
    <w:p>
      <w:pPr>
        <w:pStyle w:val="Heading3"/>
      </w:pPr>
      <w:r>
        <w:t xml:space="preserve">Черемушкинская межрайонная прокуратура разъясняет о продлении до конца 2030 года срока действия программы материнского (семейного) капитала.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drawing>
          <wp:inline>
            <wp:extent cx="5334000" cy="36938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_local/iblock/699/699d6ef8b7b698b2061c0f296f523a8d/15.-CHEREMUSHKINSKAYA-MEZHRAYONNAYA-PROKURATU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3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Федеральным законом от 28 февраля 2025 № 24-ФЗ внесены изменения в статью 13 Федерального закона «О дополнительных мерах государственной поддержки семей, имеющих детей».</w:t>
      </w:r>
    </w:p>
    <w:p>
      <w:pPr>
        <w:pStyle w:val="BodyText"/>
      </w:pPr>
      <w:r>
        <w:t xml:space="preserve">До внесения настоящих изменений действие программы было ограничено датой 31 декабря 2026. Принятым законом программа поддержки семей продлена еще на 4 года, то есть по 31 декабря 2030.</w:t>
      </w:r>
    </w:p>
    <w:p>
      <w:pPr>
        <w:pStyle w:val="BodyText"/>
      </w:pPr>
      <w:r>
        <w:t xml:space="preserve">В рамках программы маткапитал предоставляется на второго</w:t>
      </w:r>
      <w:r>
        <w:br/>
      </w:r>
      <w:r>
        <w:t xml:space="preserve">и последующих детей. Предоставленные средства можно направить,</w:t>
      </w:r>
      <w:r>
        <w:br/>
      </w:r>
      <w:r>
        <w:t xml:space="preserve">в частности, на улучшение жилищных условий и оплату образования.</w:t>
      </w:r>
    </w:p>
    <w:p>
      <w:pPr>
        <w:pStyle w:val="BodyText"/>
      </w:pPr>
      <w:r>
        <w:t xml:space="preserve">Соответствующие изменения в законодательство вступают в силу</w:t>
      </w:r>
      <w:r>
        <w:br/>
      </w:r>
      <w:r>
        <w:t xml:space="preserve">с 11 марта текущего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http://yasenevo.mos.ru/presscenter/news/detail/13022650.html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3022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3022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2025-07-12T06:24:50Z</dcterms:created>
  <dcterms:modified xsi:type="dcterms:W3CDTF">2025-07-12T06:24:50Z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