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зменилось-название-остановки"/>
    <w:p>
      <w:pPr>
        <w:pStyle w:val="Heading3"/>
      </w:pPr>
      <w:r>
        <w:t xml:space="preserve">Изменилось название остановки</w:t>
      </w:r>
    </w:p>
    <w:p>
      <w:pPr>
        <w:pStyle w:val="FirstParagraph"/>
      </w:pPr>
      <w:r>
        <w:t xml:space="preserve">05.02.2015</w:t>
      </w:r>
    </w:p>
    <w:p>
      <w:pPr>
        <w:pStyle w:val="BodyText"/>
      </w:pPr>
      <w:r>
        <w:drawing>
          <wp:inline>
            <wp:extent cx="25400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887/0502-_-avtobu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6 февраля 2015 года остановка «Улица Академика Петровского – Театр» по Ленинскому проспекту в обоих направлениях для маршрутов автобуса №№ 111, 196, Н1, троллейбуса №№ 4, 7, 33, 33к, 62, 84 переименована в «Улица Академика Петровского».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http://yasenevo.mos.ru/presscenter/news/detail/1562790.html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562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562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2025-03-31T02:28:39Z</dcterms:created>
  <dcterms:modified xsi:type="dcterms:W3CDTF">2025-03-31T02:28:39Z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