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e9c5f23b8943ae27ca8d456d1a8f737239e9a"/>
    <w:p>
      <w:pPr>
        <w:pStyle w:val="Heading3"/>
      </w:pPr>
      <w:r>
        <w:t xml:space="preserve">На Соловьином проезде, ул. Рокотова и на ул. Ясногорская выполнены работы по ремонту асфальтобетонного покрытия</w:t>
      </w:r>
    </w:p>
    <w:p>
      <w:pPr>
        <w:pStyle w:val="FirstParagraph"/>
      </w:pPr>
      <w:r>
        <w:t xml:space="preserve">05.06.2015</w:t>
      </w:r>
    </w:p>
    <w:p>
      <w:pPr>
        <w:pStyle w:val="BodyText"/>
      </w:pPr>
      <w:r>
        <w:t xml:space="preserve">Управа района Ясенево сообщает, что в первом полугодии 2015г. выполнен ремонт асфальтобетонного покрытия по обращениям жителей домов: Соловьиный пр-д, д.2, Рокотова ул., д.2/10, Ясногорская ул., д.7.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http://yasenevo.mos.ru/presscenter/news/detail/1918216.html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9182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9182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2025-04-17T20:30:27Z</dcterms:created>
  <dcterms:modified xsi:type="dcterms:W3CDTF">2025-04-17T20:30:27Z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