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ba5a7a7118ab560675da20cfe23a252c7be90"/>
    <w:p>
      <w:pPr>
        <w:pStyle w:val="Heading3"/>
      </w:pPr>
      <w:r>
        <w:t xml:space="preserve">В районе Ясенево началась подготовка к зиме объектов ЖКХ</w:t>
      </w:r>
    </w:p>
    <w:p>
      <w:pPr>
        <w:pStyle w:val="FirstParagraph"/>
      </w:pPr>
      <w:r>
        <w:t xml:space="preserve">13.07.2015</w:t>
      </w:r>
    </w:p>
    <w:p>
      <w:pPr>
        <w:pStyle w:val="BodyText"/>
      </w:pPr>
      <w:r>
        <w:t xml:space="preserve">На территории района Ясенево началась плановая подготовка к эксплуатации жилищного фонда, объектов образования, культуры, промышленности, торговли и услуг.</w:t>
      </w:r>
    </w:p>
    <w:p>
      <w:pPr>
        <w:pStyle w:val="BodyText"/>
      </w:pPr>
      <w:r>
        <w:t xml:space="preserve">Согласно плану-графику данные объекты будут подготовлены к эксплуатации в осенне-зимний период 2015-16 г.г. </w:t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http://yasenevo.mos.ru/presscenter/news/detail/2003048.html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003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003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2024-11-16T06:25:02Z</dcterms:created>
  <dcterms:modified xsi:type="dcterms:W3CDTF">2024-11-16T06:25:02Z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