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15a4bc81aa5cee2718728259c34c628e2e732"/>
    <w:p>
      <w:pPr>
        <w:pStyle w:val="Heading3"/>
      </w:pPr>
      <w:r>
        <w:t xml:space="preserve">К концу 2023 года парк московской подземки обновится на 80%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К концу 2023 года парк вагонов столичной подземки обновится на 80%.</w:t>
      </w:r>
    </w:p>
    <w:p>
      <w:pPr>
        <w:pStyle w:val="BodyText"/>
      </w:pPr>
      <w:r>
        <w:t xml:space="preserve">Для удобства горожан будут курсировать такие модели поездов, как «Москва-2020», «Москва», «Ока» и другие. Первый поезд «Москва-2020», который является сейчас самой новой моделью, пустили на Кольцевую линию метро в октябре прошлого года.</w:t>
      </w:r>
    </w:p>
    <w:p>
      <w:pPr>
        <w:pStyle w:val="BodyText"/>
      </w:pPr>
      <w:r>
        <w:t xml:space="preserve">В поездах «Москва-2020» на 15% увеличены дверные проемы и на 57% шире межвагонный переход. В составах есть информационные дисплеи под потолком, USB-разъемы в каждом сиденье, увеличенные сенсорные экраны и маршрутные наружные табло. Уровень шума в вагонах снижен на 15%.</w:t>
      </w:r>
    </w:p>
    <w:p>
      <w:pPr>
        <w:pStyle w:val="BodyText"/>
      </w:pPr>
      <w:r>
        <w:t xml:space="preserve">Отличаются от своих предшественников поезд и дизайном – его элементы выбирали сами москвичи во время голосования в выставочном павильоне МЦД на Киевском вокзале и в соцсетях.</w:t>
      </w:r>
    </w:p>
    <w:p>
      <w:pPr>
        <w:pStyle w:val="BodyText"/>
      </w:pPr>
      <w:r>
        <w:t xml:space="preserve">В 2021 году на кольце полностью обновят подвижной состав, а в 2023-м — на Калужско-Рижской линии. Ежедневно новыми поездами будут пользоваться более 1,7 млн пассажиров.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http://yasenevo.mos.ru/presscenter/news/detail/9950985.html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50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50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2025-06-25T14:45:27Z</dcterms:created>
  <dcterms:modified xsi:type="dcterms:W3CDTF">2025-06-25T14:45:27Z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