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fe455009f07030d7f3ffd3adff77165af3c0"/>
    <w:p>
      <w:pPr>
        <w:pStyle w:val="Heading3"/>
      </w:pPr>
      <w:r>
        <w:t xml:space="preserve">Консультативно-правовой пункт по вопросам призыва граждан на военную и альтернативную гражданскую службу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на период осенней призывной кампании 2017 года с 1 октября создан консультативно-правовой пункт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пункта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разъяснение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pStyle w:val="BodyText"/>
      </w:pPr>
      <w:r>
        <w:t xml:space="preserve">незамедлительное реагирование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получение и обобщение информации о фактах нарушений закона, корыстных злоупотреблениях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будет осуществляться круглосуточно по адресу: г. Москва. Хорошевское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http://yasenevo.mos.ru/presscenter/press-releases/detail/6953302.html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press-releases/detail/6953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press-releases/detail/6953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2025-07-06T11:20:12Z</dcterms:created>
  <dcterms:modified xsi:type="dcterms:W3CDTF">2025-07-06T11:20:12Z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