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6dbe11123fb7694bf3304c518357a32cb109e5"/>
    <w:p>
      <w:pPr>
        <w:pStyle w:val="Heading3"/>
      </w:pPr>
      <w:r>
        <w:t xml:space="preserve">Создается робот, способный имитировать любую подлодку, для ВМФ РФ</w:t>
      </w:r>
    </w:p>
    <w:p>
      <w:pPr>
        <w:pStyle w:val="FirstParagraph"/>
      </w:pPr>
      <w:r>
        <w:t xml:space="preserve">07.12.2016</w:t>
      </w:r>
    </w:p>
    <w:bookmarkEnd w:id="20"/>
    <w:bookmarkStart w:id="24" w:name="X6f8d01ac60b5b2aa1fadb671ffcc9aa78682ee9"/>
    <w:p>
      <w:pPr>
        <w:pStyle w:val="Heading2"/>
      </w:pPr>
      <w:r>
        <w:t xml:space="preserve">Концепт-проект морского роботизированного комплекса “Суррогат” для проведения учений Военно-морского флота РФ разработали специалисты ЦКБ “Рубин”. Как сообщили ТАСС в конструкторском бюро, сейчас с военными моряками ведутся консультации по поводу этого проекта.</w:t>
      </w:r>
    </w:p>
    <w:p>
      <w:pPr>
        <w:pStyle w:val="FirstParagraph"/>
      </w:pPr>
      <w:r>
        <w:t xml:space="preserve">“Суррогат” оснащен литий-ионной батареей. Этот имитатор подводной лодки способен обеспечивать учения длительностью до 15-16 часов, причем все это время он будет воспроизводить маневрирование подлодки противника, в том числе на больших скоростях хода. Сравнительно большие размеры (длина около 17 метров) и возможность нести буксируемые антенны различного назначения позволят реалистично воспроизвести физические поля подлодки противника – акустическое и электромагнитное”, – отметили в ЦКБ “Рубин”.</w:t>
      </w:r>
    </w:p>
    <w:p>
      <w:pPr>
        <w:pStyle w:val="BodyText"/>
      </w:pPr>
      <w:r>
        <w:t xml:space="preserve">Модульная конструкция имитатора позволит менять его функциональность: “Суррогат” сможет имитировать как неатомную, так и атомную подводную лодку, а также вести картографирование местности и разведку.</w:t>
      </w:r>
    </w:p>
    <w:p>
      <w:pPr>
        <w:pStyle w:val="BodyText"/>
      </w:pPr>
      <w:r>
        <w:t xml:space="preserve">“Сегодня для учений или испытаний необходимо привлекать боевые подлодки, отрывая их от решения основных задач. Использование необитаемого имитатора позволит избежать этого и снизит стоимость учений. Кроме того, “безэкипажная” лодка уменьшает риски, сохраняя реалистичность. Этот аппарат будет отличаться простотой в эксплуатации и невысокой стоимостью обслуживания и модернизации. Сейчас мы ведем консультации с представителями ВМФ РФ, чтобы имитатор полностью отвечал потребностям военных моряков”, – пояснил ТАСС генеральный директор ЦКБ “Рубин” Игорь Вильнит.</w:t>
      </w:r>
    </w:p>
    <w:p>
      <w:pPr>
        <w:pStyle w:val="BodyText"/>
      </w:pPr>
      <w:r>
        <w:t xml:space="preserve">Также в “Рубине” не исключают интереса к “Суррогату” со стороны инозаказчиков.</w:t>
      </w:r>
    </w:p>
    <w:p>
      <w:pPr>
        <w:pStyle w:val="BodyText"/>
      </w:pPr>
      <w:r>
        <w:t xml:space="preserve">Водоизмещение автономной необитаемой подводной лодки “Суррогат” составит около 40 тонн, дальность плавания – около 600 миль при скорости в 5 узлов, максимальная скорость – свыше 24 узлов, предельная глубина погружения – 600 метров. </w:t>
      </w:r>
    </w:p>
    <w:p>
      <w:pPr>
        <w:pStyle w:val="BodyText"/>
      </w:pPr>
      <w:r>
        <w:t xml:space="preserve"> </w:t>
      </w:r>
      <w:r>
        <w:br/>
      </w:r>
      <w:hyperlink r:id="rId21">
        <w:r>
          <w:rPr>
            <w:rStyle w:val="Hyperlink"/>
          </w:rPr>
          <w:t xml:space="preserve">tass.ru/armiya-i-opk/3842981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http://yasenevo.mos.ru/we-have-much-to-be-proud-of/detail/4379172.html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ss.ru/armiya-i-opk/3842981" TargetMode="Externa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we-have-much-to-be-proud-of/detail/4379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ss.ru/armiya-i-opk/3842981" TargetMode="Externa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we-have-much-to-be-proud-of/detail/4379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2025-04-09T03:25:27Z</dcterms:created>
  <dcterms:modified xsi:type="dcterms:W3CDTF">2025-04-09T03:25:27Z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