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de4c27f0f17dc4f6f6b03ea23e445afcc86ab0"/>
    <w:p>
      <w:pPr>
        <w:pStyle w:val="Heading3"/>
      </w:pPr>
      <w:r>
        <w:t xml:space="preserve">Новая автоматизированная система ОрВД введена в эксплуатацию концерном ВКО “Алмаз-Антей”</w:t>
      </w:r>
    </w:p>
    <w:p>
      <w:pPr>
        <w:pStyle w:val="FirstParagraph"/>
      </w:pPr>
      <w:r>
        <w:t xml:space="preserve">16.12.2016</w:t>
      </w:r>
    </w:p>
    <w:bookmarkEnd w:id="20"/>
    <w:bookmarkStart w:id="24" w:name="X57ac04994e572bb73a96fd7a89287d88a97c9b6"/>
    <w:p>
      <w:pPr>
        <w:pStyle w:val="Heading2"/>
      </w:pPr>
      <w:r>
        <w:t xml:space="preserve">Концерн воздушно-космической обороны (ВКО) “Алмаз-Антей” ввел в эксплуатацию новую автоматизированную систему организации воздушного движения (АС ОрВД) в Красноярском укрупненном центре Единой системы ОрВД.</w:t>
      </w:r>
    </w:p>
    <w:p>
      <w:pPr>
        <w:pStyle w:val="FirstParagraph"/>
      </w:pPr>
      <w:r>
        <w:t xml:space="preserve">Новая система позволит в полной мере обеспечить полеты с сокращенными вертикальными интервалами, а в ближайшем будущем – переход на обслуживание воздушного движения на основе эксплуатационных характеристик с привязкой к давлению, приведенному к среднему уровню моря. Реализация этих планов позволит привести к мировым стандартам процедуры управления воздушным движением (УВД), применяемые в России.</w:t>
      </w:r>
    </w:p>
    <w:p>
      <w:pPr>
        <w:pStyle w:val="BodyText"/>
      </w:pPr>
      <w:r>
        <w:t xml:space="preserve">Система обслуживает воздушное движение в 14 секторах воздушного пространства, включает в себя 10 рабочих мест системы планирования, обрабатывает полетную информацию от 40 радиолокаторов и 35 станций АЗН-В, обеспечивает поддержку и коммутацию средств связи от 20 автоматизированных приемопередающих центров, 70 командных радиостанций, сети связи ВЧ-диапазона, метеорологических и аэронавигационных систем. Для координации и согласования деятельности информационное взаимодействие осуществляется с системами планирования использования воздушного пространства (ПИВП) Главного центра, смежных зональных центров, средствами автоматизации ПИВП и УВД аэродромов и смежных зон, включая ведомственные системы.</w:t>
      </w:r>
    </w:p>
    <w:p>
      <w:pPr>
        <w:pStyle w:val="BodyText"/>
      </w:pPr>
      <w:r>
        <w:t xml:space="preserve">В систему включен функционал автоматизированного формирования донесений органа обслуживания воздушного движения о случаях больших отклонений воздушных судов от заданных эшелонов полета для представления региональному мониторинговому агентству “Евразия” по установленным формам.</w:t>
      </w:r>
    </w:p>
    <w:p>
      <w:pPr>
        <w:pStyle w:val="BodyText"/>
      </w:pPr>
      <w:r>
        <w:t xml:space="preserve">Как сообщили в пресс-службе компании, передает Интерфакс-АВН: “В зону ответственности новой системы входит планирование, контроль и управление воздушным движением над территорией Красноярского края и субъектов Сибирского федерального округа от южных границ России в Хакасии до Северного Ледовитого океана. Общая площадь контролируемого воздушного пространства в высотном диапазоне до 20 000 метров составляет около 8 млн квадратных километров”.</w:t>
      </w:r>
    </w:p>
    <w:p>
      <w:pPr>
        <w:pStyle w:val="BodyText"/>
      </w:pPr>
      <w:r>
        <w:t xml:space="preserve">“АС ОрВД Красноярского центра относится к новому поколению систем управления мирового уровня и соответствует современным требованиям ICAO. По некоторым возможностям она не имеет аналогов в мире. Система сможет обслуживать треть российской территории, над которой увеличит пропускную способность воздушного пространства и повысит безопасность полётов”, – сообщил заместитель генерального директора концерна по гражданской продукции и продукции двойного назначения Дмитрий Савицкий.</w:t>
      </w:r>
    </w:p>
    <w:p>
      <w:pPr>
        <w:pStyle w:val="BodyText"/>
      </w:pPr>
      <w:hyperlink r:id="rId21">
        <w:r>
          <w:rPr>
            <w:rStyle w:val="Hyperlink"/>
          </w:rPr>
          <w:t xml:space="preserve">i-mash.ru/news/nov_predpr/86738-koncern-vko-almaz-antejj-vvel-v-jekspluataciju.html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http://yasenevo.mos.ru/we-have-much-to-be-proud-of/detail/4449488.html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i-mash.ru/news/nov_predpr/86738-koncern-vko-almaz-antejj-vvel-v-jekspluataciju.html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449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i-mash.ru/news/nov_predpr/86738-koncern-vko-almaz-antejj-vvel-v-jekspluataciju.html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449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2025-04-09T03:25:28Z</dcterms:created>
  <dcterms:modified xsi:type="dcterms:W3CDTF">2025-04-09T03:25:28Z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